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9FBF644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5E51F9">
        <w:rPr>
          <w:rFonts w:ascii="Garamond" w:hAnsi="Garamond"/>
          <w:sz w:val="24"/>
          <w:szCs w:val="24"/>
        </w:rPr>
        <w:t>0</w:t>
      </w:r>
      <w:r w:rsidR="00D70427">
        <w:rPr>
          <w:rFonts w:ascii="Garamond" w:hAnsi="Garamond"/>
          <w:sz w:val="24"/>
          <w:szCs w:val="24"/>
        </w:rPr>
        <w:t>4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563C83CF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70427" w:rsidRPr="00EB35E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https://zakazky.zcu.cz/contract_display_5874.html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1A138DF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092D8F">
        <w:rPr>
          <w:rFonts w:ascii="Garamond" w:hAnsi="Garamond" w:cs="Arial"/>
          <w:b/>
          <w:sz w:val="22"/>
          <w:szCs w:val="22"/>
        </w:rPr>
        <w:t>1</w:t>
      </w:r>
      <w:r w:rsidR="00D70427">
        <w:rPr>
          <w:rFonts w:ascii="Garamond" w:hAnsi="Garamond" w:cs="Arial"/>
          <w:b/>
          <w:sz w:val="22"/>
          <w:szCs w:val="22"/>
        </w:rPr>
        <w:t>5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 xml:space="preserve">hodnot </w:t>
      </w:r>
      <w:r w:rsidR="00FA3BE0" w:rsidRPr="00BE0AD3">
        <w:rPr>
          <w:rFonts w:ascii="Garamond" w:hAnsi="Garamond"/>
          <w:sz w:val="22"/>
          <w:szCs w:val="22"/>
        </w:rPr>
        <w:lastRenderedPageBreak/>
        <w:t>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D35DC" w14:textId="77777777" w:rsidR="00120B9F" w:rsidRDefault="00120B9F" w:rsidP="00795AAC">
      <w:r>
        <w:separator/>
      </w:r>
    </w:p>
  </w:endnote>
  <w:endnote w:type="continuationSeparator" w:id="0">
    <w:p w14:paraId="2487DBF5" w14:textId="77777777" w:rsidR="00120B9F" w:rsidRDefault="00120B9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4C278" w14:textId="77777777" w:rsidR="00120B9F" w:rsidRDefault="00120B9F" w:rsidP="00795AAC">
      <w:r>
        <w:separator/>
      </w:r>
    </w:p>
  </w:footnote>
  <w:footnote w:type="continuationSeparator" w:id="0">
    <w:p w14:paraId="79495AE5" w14:textId="77777777" w:rsidR="00120B9F" w:rsidRDefault="00120B9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74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E9rIQpDt821Z0MceBzPthSjOnqWt7hr4iLLNiDpFWPI=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Xr1TkR/qXI2FQg1OTLaRsrlbtBmT/QwIlpHwkocOkqI=</DigestValue>
    </Reference>
  </SignedInfo>
  <SignatureValue>Du6B7i1+d0bGeQViJLrROIlf3/81hL/OAQHQJcghR0WFVdmNQRNCj34jrS6TWM7hpqf4d9ZOxrLF
mlgEBTXDMtdPvV5+9UJTKA8fnXlbeIFtPLwluDP9uHtg8ihwYdTsizCtKKzVSP6FGGvKwuthjo4U
R4sctK1v3tIbY4D2CHMUVJ1fn9bOhOPPrddHw0dNk3Ivje/MZCodhTrleSvLL0fEJZnnYPEmOVQ7
A3noRIJ86Unk8Q7sXwE/zJf1ET2z8Iz+1xdMsme1DgYYWqE1fehDa6TQh60uCt1zVV0BlJJB4RpA
N+57eKqNSUhF89fovnb8lu/gqnO8CzGavO8wtA==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PtWOOCRk2+46b4lJSfDVxEkjXJ/Z7zs/PkI5/gt8SCc=</DigestValue>
      </Reference>
      <Reference URI="/word/document.xml?ContentType=application/vnd.openxmlformats-officedocument.wordprocessingml.document.main+xml">
        <DigestMethod Algorithm="http://www.w3.org/2001/04/xmlenc#sha256"/>
        <DigestValue>F96QL9OiKqzwtjeh43TvPwrcxQzHtEuXyCznFGYZAdY=</DigestValue>
      </Reference>
      <Reference URI="/word/endnotes.xml?ContentType=application/vnd.openxmlformats-officedocument.wordprocessingml.endnotes+xml">
        <DigestMethod Algorithm="http://www.w3.org/2001/04/xmlenc#sha256"/>
        <DigestValue>94DnKpeXUzh4cdmykAITAUTXOJpqMvN4/QEwrpT41V8=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ULXNnTz/maaKbp3crtgLgFT1BUQMAij5hLQaA+srcBk=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unnThKSECxtnNNl8xuYBi4zqNkDjgFxAPxxKnTFWG8c=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2023-03-03T07:11:27Z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2023-03-03T07:11:27Z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2967</Words>
  <Characters>17507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2023-03-02T06:51:00Z</cp:lastPrinted>
  <dcterms:created xsi:type="dcterms:W3CDTF">2023-03-03T06:52:00Z</dcterms:created>
  <dcterms:modified xsi:type="dcterms:W3CDTF">2023-03-03T07:11:00Z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